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九江市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fldChar w:fldCharType="begin"/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instrText xml:space="preserve"> HYPERLINK "http://www.zjjyd.gov.cn/zjjcms/DFS//file/2019/04/18/20190418084412396a788hu.doc" </w:instrTex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fldChar w:fldCharType="separate"/>
      </w:r>
      <w:r>
        <w:rPr>
          <w:rStyle w:val="5"/>
          <w:rFonts w:hint="eastAsia" w:ascii="宋体" w:hAnsi="宋体" w:cs="宋体"/>
          <w:b/>
          <w:bCs/>
          <w:color w:val="000000"/>
          <w:sz w:val="44"/>
          <w:szCs w:val="44"/>
          <w:u w:val="none"/>
        </w:rPr>
        <w:t>柴桑区中医医院招聘人员计划表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fldChar w:fldCharType="end"/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3"/>
        <w:tblW w:w="13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936"/>
        <w:gridCol w:w="937"/>
        <w:gridCol w:w="688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招聘单位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自</w:t>
            </w: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聘岗位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自</w:t>
            </w: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聘人数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岗位要求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restart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九江市柴桑区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中医医院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神经外科医生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大专及以上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具有执业医师证，年龄35周岁及以下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神经外科医生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大专及以上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具有中级及以上职称，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45周岁及以下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外科医生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及以上学历，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具有执业医师证</w:t>
            </w:r>
            <w:r>
              <w:rPr>
                <w:rFonts w:hint="eastAsia" w:ascii="仿宋" w:hAnsi="仿宋" w:eastAsia="仿宋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年龄3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妇产科医生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临床医学专业，大专及以上学历，具有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助理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执业医师证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；具有执业医师证，年龄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中医妇科医生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中医学专业，大专及以上学历，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具有助理执业医师证，年龄28岁周岁及以下；具有执业医师证，年龄35周岁及以下。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康复科医师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针灸推拿学专业，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大专及以上学历，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应届毕业生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25周岁及以下；具有助理执业医师证，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；具有执业医师证，年龄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康复科技师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中医康复技术专业，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大专及以上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具有康复技师证，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麻醉医生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西医临床麻醉专业，全日制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大专及以上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应届毕业生年龄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25周岁及以下；具有助理执业医师证，年龄28周岁及以下；具有执业医师证，年龄35周岁及以下。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急诊科医生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急诊医学、临床医学专业，</w:t>
            </w:r>
            <w:r>
              <w:rPr>
                <w:rFonts w:hint="eastAsia" w:ascii="仿宋" w:hAnsi="仿宋" w:eastAsia="仿宋" w:cs="仿宋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</w:rPr>
              <w:t>及以上学历，具有执业医师证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年龄3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周岁及以下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五官科医生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西医临床医学专业，大专及以上学历，具有执业医师证，年龄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sz w:val="24"/>
                <w:lang w:val="en-US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中医医生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中医学专业，大专及以上学历，具有执业医师证的年龄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35周岁及以下；具有中级职称的年龄不限。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肾内科医生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西医临床医学专业，大专及以上学历，具有执业医师证，年龄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内一科医生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西医临床医学专业，大专及以上学历，具有助理执业医师证，年龄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内二科医生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大专及以上学历，具有执业医师证，年龄35周岁及以下。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口腔科医生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口腔医学专业，大专及以上学历，应届毕业生年龄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25周岁及以下；具有助理医师证年龄28周岁及以下；具有执业医师证，年龄35周岁及以下。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验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医学检验及医学检验技术专业，全日制大专及以上学历，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具有检验士及以上资格证，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30周岁及以下。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放射科医生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医学影像专业，大专及以上学历，具有助理医师证，年龄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剂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中药学专业，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全日制大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及以上学历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具有中药师及以上职称，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/>
              </w:rPr>
              <w:t>30周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岁及以下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理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护理学专业（含助产专业）、中医护理学专业，中专及以上学历，具有护士执业证，年龄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会计专业、财务管理专业，大专及以上学历，具有会计初级证及以上资格证，年龄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30周岁及以下。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设备维修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医疗设备应用技术、医疗器械维护与管理，大专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557</w:t>
            </w:r>
          </w:p>
        </w:tc>
      </w:tr>
    </w:tbl>
    <w:p>
      <w:pPr>
        <w:spacing w:line="20" w:lineRule="exact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077" w:right="2155" w:bottom="907" w:left="204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54EB"/>
    <w:rsid w:val="5DD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2022-01-12T06:19:00Z</dcterms:created>
  <dc:creator>计小圆</dc:creator>
  <cp:lastModifiedBy>计小圆</cp:lastModifiedBy>
  <dcterms:modified xsi:type="dcterms:W3CDTF">2022-01-12T06:21:40Z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C66B838DB4FC4972B01BB2CAD1F4EFE4</vt:lpwstr>
  </property>
</Properties>
</file>